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39210" w14:textId="41AA864B" w:rsidR="00E14E78" w:rsidRDefault="007D02B6">
      <w:pPr>
        <w:spacing w:after="120" w:line="240" w:lineRule="auto"/>
      </w:pPr>
      <w:r>
        <w:t xml:space="preserve">Supplementary </w:t>
      </w:r>
      <w:r w:rsidR="000E3F6E">
        <w:t xml:space="preserve">Table </w:t>
      </w:r>
      <w:r w:rsidR="000E3F6E">
        <w:t>1. Investigational trial-enrichment implications of the Stage 0-4 atrial cardiomyopathy (</w:t>
      </w:r>
      <w:proofErr w:type="spellStart"/>
      <w:r w:rsidR="000E3F6E">
        <w:t>AtCM</w:t>
      </w:r>
      <w:proofErr w:type="spellEnd"/>
      <w:r w:rsidR="000E3F6E">
        <w:t>) framework.</w:t>
      </w:r>
    </w:p>
    <w:p w14:paraId="4937204A" w14:textId="2C8B8102" w:rsidR="00E14E78" w:rsidRDefault="007D02B6">
      <w:pPr>
        <w:spacing w:after="120" w:line="240" w:lineRule="auto"/>
      </w:pPr>
      <w:r>
        <w:t xml:space="preserve">Supplementary </w:t>
      </w:r>
      <w:r w:rsidR="00581C74">
        <w:t xml:space="preserve">Table 1 is intended for research design and trial enrichment, not as a clinical treatment algorithm. Clinical management should follow established stroke and atrial fibrillation (AF) guidelines. </w:t>
      </w:r>
    </w:p>
    <w:tbl>
      <w:tblPr>
        <w:tblW w:w="10343" w:type="dxa"/>
        <w:jc w:val="center"/>
        <w:tblLook w:val="04A0" w:firstRow="1" w:lastRow="0" w:firstColumn="1" w:lastColumn="0" w:noHBand="0" w:noVBand="1"/>
      </w:tblPr>
      <w:tblGrid>
        <w:gridCol w:w="846"/>
        <w:gridCol w:w="3110"/>
        <w:gridCol w:w="2573"/>
        <w:gridCol w:w="3814"/>
      </w:tblGrid>
      <w:tr w:rsidR="00E14E78" w14:paraId="19A38442" w14:textId="77777777" w:rsidTr="00B66CEA">
        <w:trPr>
          <w:cantSplit/>
          <w:jc w:val="center"/>
        </w:trPr>
        <w:tc>
          <w:tcPr>
            <w:tcW w:w="846" w:type="dxa"/>
            <w:tcBorders>
              <w:top w:val="single" w:sz="12" w:space="0" w:color="auto"/>
              <w:bottom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2DEA4BA" w14:textId="77777777" w:rsidR="00E14E78" w:rsidRDefault="000E3F6E">
            <w:pPr>
              <w:spacing w:line="240" w:lineRule="auto"/>
            </w:pPr>
            <w:r>
              <w:rPr>
                <w:b/>
                <w:sz w:val="17"/>
              </w:rPr>
              <w:t>Stage</w:t>
            </w:r>
          </w:p>
        </w:tc>
        <w:tc>
          <w:tcPr>
            <w:tcW w:w="3110" w:type="dxa"/>
            <w:tcBorders>
              <w:top w:val="single" w:sz="12" w:space="0" w:color="auto"/>
              <w:bottom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262585A" w14:textId="77777777" w:rsidR="00E14E78" w:rsidRDefault="000E3F6E">
            <w:pPr>
              <w:spacing w:line="240" w:lineRule="auto"/>
            </w:pPr>
            <w:r>
              <w:rPr>
                <w:b/>
                <w:sz w:val="17"/>
              </w:rPr>
              <w:t>Main research uncertainty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1E433EF" w14:textId="77777777" w:rsidR="00E14E78" w:rsidRDefault="000E3F6E">
            <w:pPr>
              <w:spacing w:line="240" w:lineRule="auto"/>
            </w:pPr>
            <w:r>
              <w:rPr>
                <w:b/>
                <w:sz w:val="17"/>
              </w:rPr>
              <w:t>Trial-enrichment use</w:t>
            </w:r>
          </w:p>
        </w:tc>
        <w:tc>
          <w:tcPr>
            <w:tcW w:w="3814" w:type="dxa"/>
            <w:tcBorders>
              <w:top w:val="single" w:sz="12" w:space="0" w:color="auto"/>
              <w:bottom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AA93D5B" w14:textId="77777777" w:rsidR="00E14E78" w:rsidRDefault="000E3F6E">
            <w:pPr>
              <w:spacing w:line="240" w:lineRule="auto"/>
            </w:pPr>
            <w:r>
              <w:rPr>
                <w:b/>
                <w:sz w:val="17"/>
              </w:rPr>
              <w:t>Endpoi</w:t>
            </w:r>
            <w:r>
              <w:rPr>
                <w:b/>
                <w:sz w:val="17"/>
              </w:rPr>
              <w:t>nt / caution</w:t>
            </w:r>
          </w:p>
        </w:tc>
      </w:tr>
      <w:tr w:rsidR="00E14E78" w14:paraId="74AA1A17" w14:textId="77777777" w:rsidTr="00B66CEA">
        <w:trPr>
          <w:cantSplit/>
          <w:jc w:val="center"/>
        </w:trPr>
        <w:tc>
          <w:tcPr>
            <w:tcW w:w="846" w:type="dxa"/>
            <w:tcBorders>
              <w:top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115944C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0</w:t>
            </w:r>
          </w:p>
        </w:tc>
        <w:tc>
          <w:tcPr>
            <w:tcW w:w="3110" w:type="dxa"/>
            <w:tcBorders>
              <w:top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3E6E38E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 xml:space="preserve">Which risk-factor profiles progress to measurable </w:t>
            </w:r>
            <w:proofErr w:type="spellStart"/>
            <w:r>
              <w:rPr>
                <w:sz w:val="17"/>
              </w:rPr>
              <w:t>AtCM</w:t>
            </w:r>
            <w:proofErr w:type="spellEnd"/>
            <w:r>
              <w:rPr>
                <w:sz w:val="17"/>
              </w:rPr>
              <w:t>?</w:t>
            </w:r>
          </w:p>
        </w:tc>
        <w:tc>
          <w:tcPr>
            <w:tcW w:w="2573" w:type="dxa"/>
            <w:tcBorders>
              <w:top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BB47E0C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Prevention cohorts or registry follow-up, not anticoagulation trials.</w:t>
            </w:r>
          </w:p>
        </w:tc>
        <w:tc>
          <w:tcPr>
            <w:tcW w:w="3814" w:type="dxa"/>
            <w:tcBorders>
              <w:top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6548CCC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 xml:space="preserve">Incident </w:t>
            </w:r>
            <w:proofErr w:type="spellStart"/>
            <w:r>
              <w:rPr>
                <w:sz w:val="17"/>
              </w:rPr>
              <w:t>AtCM</w:t>
            </w:r>
            <w:proofErr w:type="spellEnd"/>
            <w:r>
              <w:rPr>
                <w:sz w:val="17"/>
              </w:rPr>
              <w:t xml:space="preserve"> phenotype, AF detection, vascular risk control. Avoid treating exposure alone as atrial-source stroke.</w:t>
            </w:r>
          </w:p>
        </w:tc>
      </w:tr>
      <w:tr w:rsidR="00E14E78" w14:paraId="78277272" w14:textId="77777777" w:rsidTr="00B66CEA">
        <w:trPr>
          <w:cantSplit/>
          <w:jc w:val="center"/>
        </w:trPr>
        <w:tc>
          <w:tcPr>
            <w:tcW w:w="84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CB7D619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1</w:t>
            </w:r>
          </w:p>
        </w:tc>
        <w:tc>
          <w:tcPr>
            <w:tcW w:w="31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39D4CBA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Does an electrical/biomarker signal mainly predict AF detection or thrombogenic biology?</w:t>
            </w:r>
          </w:p>
        </w:tc>
        <w:tc>
          <w:tcPr>
            <w:tcW w:w="2573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4957EFE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Monitoring-yield studies, AF prediction models, and biomarke</w:t>
            </w:r>
            <w:r>
              <w:rPr>
                <w:sz w:val="17"/>
              </w:rPr>
              <w:t>r trajectory studies.</w:t>
            </w:r>
          </w:p>
        </w:tc>
        <w:tc>
          <w:tcPr>
            <w:tcW w:w="3814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635C731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AF or subclinical atrial fibrillation (SCAF) detection, AF burden, N-terminal pro-B-type natriuretic peptide (NT-</w:t>
            </w:r>
            <w:proofErr w:type="spellStart"/>
            <w:r>
              <w:rPr>
                <w:sz w:val="17"/>
              </w:rPr>
              <w:t>proBNP</w:t>
            </w:r>
            <w:proofErr w:type="spellEnd"/>
            <w:r>
              <w:rPr>
                <w:sz w:val="17"/>
              </w:rPr>
              <w:t>) or P-wave terminal force in lead V1 (PTFV1) change. Avoid interpreting isolated stress markers as anticoagulation</w:t>
            </w:r>
            <w:r>
              <w:rPr>
                <w:sz w:val="17"/>
              </w:rPr>
              <w:t xml:space="preserve"> indications.</w:t>
            </w:r>
          </w:p>
        </w:tc>
      </w:tr>
      <w:tr w:rsidR="00E14E78" w14:paraId="05359DB5" w14:textId="77777777" w:rsidTr="00B66CEA">
        <w:trPr>
          <w:cantSplit/>
          <w:jc w:val="center"/>
        </w:trPr>
        <w:tc>
          <w:tcPr>
            <w:tcW w:w="84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C5E82D7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2</w:t>
            </w:r>
          </w:p>
        </w:tc>
        <w:tc>
          <w:tcPr>
            <w:tcW w:w="31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0CE3CA8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Does mechanical/structural dysfunction improve risk reclassification beyond clinical scores and ECG/biomarkers?</w:t>
            </w:r>
          </w:p>
        </w:tc>
        <w:tc>
          <w:tcPr>
            <w:tcW w:w="2573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2F9EEF8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Risk-stratification studies and upstream-intervention trials.</w:t>
            </w:r>
          </w:p>
        </w:tc>
        <w:tc>
          <w:tcPr>
            <w:tcW w:w="3814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9517656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Recurrent embolic events, covert infarcts, LA strain improvement,</w:t>
            </w:r>
            <w:r>
              <w:rPr>
                <w:sz w:val="17"/>
              </w:rPr>
              <w:t xml:space="preserve"> AF burden. Avoid non-prespecified strain thresholds.</w:t>
            </w:r>
          </w:p>
        </w:tc>
      </w:tr>
      <w:tr w:rsidR="00E14E78" w14:paraId="3121192C" w14:textId="77777777" w:rsidTr="00B66CEA">
        <w:trPr>
          <w:cantSplit/>
          <w:jc w:val="center"/>
        </w:trPr>
        <w:tc>
          <w:tcPr>
            <w:tcW w:w="84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4EFE1C5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3</w:t>
            </w:r>
          </w:p>
        </w:tc>
        <w:tc>
          <w:tcPr>
            <w:tcW w:w="31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1B54B89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Can a validated thrombogenic substrate identify patients with net benefit from antithrombotic or left atrial appendage (LAA)-centered strategies?</w:t>
            </w:r>
          </w:p>
        </w:tc>
        <w:tc>
          <w:tcPr>
            <w:tcW w:w="2573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31FA21C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Mechanism-matched trials requiring stasis/LAA dysfunc</w:t>
            </w:r>
            <w:r>
              <w:rPr>
                <w:sz w:val="17"/>
              </w:rPr>
              <w:t>tion plus structural/mechanical and biology markers.</w:t>
            </w:r>
          </w:p>
        </w:tc>
        <w:tc>
          <w:tcPr>
            <w:tcW w:w="3814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F9ACFC2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Recurrent embolic stroke, covert infarcts, bleeding, net clinical benefit. Avoid routine anticoagulation before prospective validation unless AF or thrombus or another guideline indication is present.</w:t>
            </w:r>
          </w:p>
        </w:tc>
      </w:tr>
      <w:tr w:rsidR="00E14E78" w14:paraId="5557C068" w14:textId="77777777" w:rsidTr="00B66CEA">
        <w:trPr>
          <w:cantSplit/>
          <w:jc w:val="center"/>
        </w:trPr>
        <w:tc>
          <w:tcPr>
            <w:tcW w:w="846" w:type="dxa"/>
            <w:tcBorders>
              <w:bottom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DCF82B3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4</w:t>
            </w:r>
          </w:p>
        </w:tc>
        <w:tc>
          <w:tcPr>
            <w:tcW w:w="3110" w:type="dxa"/>
            <w:tcBorders>
              <w:bottom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CD6056F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How should established indications be integrated with substrate burden and bleeding risk?</w:t>
            </w:r>
          </w:p>
        </w:tc>
        <w:tc>
          <w:tcPr>
            <w:tcW w:w="2573" w:type="dxa"/>
            <w:tcBorders>
              <w:bottom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99B6F8E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>Guideline-based treatment studies and registries evaluating AF burden, thrombus, recurrence, and net clinical benefit.</w:t>
            </w:r>
          </w:p>
        </w:tc>
        <w:tc>
          <w:tcPr>
            <w:tcW w:w="3814" w:type="dxa"/>
            <w:tcBorders>
              <w:bottom w:val="single" w:sz="12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B137AB9" w14:textId="77777777" w:rsidR="00E14E78" w:rsidRDefault="000E3F6E">
            <w:pPr>
              <w:spacing w:line="240" w:lineRule="auto"/>
            </w:pPr>
            <w:r>
              <w:rPr>
                <w:sz w:val="17"/>
              </w:rPr>
              <w:t xml:space="preserve">Clinical stroke, systemic embolism, bleeding, </w:t>
            </w:r>
            <w:r>
              <w:rPr>
                <w:sz w:val="17"/>
              </w:rPr>
              <w:t>mortality, cognition, MRI outcomes. Avoid ignoring competing stroke mechanisms once AF is detected.</w:t>
            </w:r>
          </w:p>
        </w:tc>
      </w:tr>
    </w:tbl>
    <w:p w14:paraId="15C78958" w14:textId="77777777" w:rsidR="00D55738" w:rsidRDefault="00D55738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6C548B97" w14:textId="77777777" w:rsidR="00D55738" w:rsidRDefault="00D55738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03F0EDB0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0D2D083D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3F13A3F5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78A14E89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703BE47A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0A23CE0D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349392CF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26EDC8BA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580B7E16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748B7C70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5CCA4E4D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210CE8D9" w14:textId="77777777" w:rsidR="00EA3E9F" w:rsidRDefault="00EA3E9F">
      <w:pPr>
        <w:spacing w:after="120" w:line="240" w:lineRule="auto"/>
        <w:rPr>
          <w:rFonts w:eastAsia="宋体"/>
          <w:b/>
          <w:sz w:val="30"/>
          <w:szCs w:val="30"/>
          <w:lang w:eastAsia="zh-CN"/>
        </w:rPr>
      </w:pPr>
    </w:p>
    <w:p w14:paraId="37F4E1AF" w14:textId="304E211D" w:rsidR="00E14E78" w:rsidRDefault="007D02B6">
      <w:pPr>
        <w:spacing w:after="120" w:line="240" w:lineRule="auto"/>
      </w:pPr>
      <w:r>
        <w:lastRenderedPageBreak/>
        <w:t xml:space="preserve">Supplementary </w:t>
      </w:r>
      <w:r w:rsidR="000E3F6E">
        <w:t xml:space="preserve">Table </w:t>
      </w:r>
      <w:r w:rsidR="000E3F6E">
        <w:t>2. Minimum reporting checklist for atrial cardiomyopathy (</w:t>
      </w:r>
      <w:proofErr w:type="spellStart"/>
      <w:r w:rsidR="000E3F6E">
        <w:t>AtCM</w:t>
      </w:r>
      <w:proofErr w:type="spellEnd"/>
      <w:r w:rsidR="000E3F6E">
        <w:t>) phenotyping studies, linked to staging domains.</w:t>
      </w:r>
    </w:p>
    <w:p w14:paraId="4882BE0E" w14:textId="40592483" w:rsidR="00E14E78" w:rsidRDefault="007D02B6">
      <w:pPr>
        <w:spacing w:after="120" w:line="240" w:lineRule="auto"/>
      </w:pPr>
      <w:r>
        <w:t xml:space="preserve">Supplementary </w:t>
      </w:r>
      <w:r w:rsidR="000E3F6E">
        <w:t xml:space="preserve">Table </w:t>
      </w:r>
      <w:bookmarkStart w:id="0" w:name="_GoBack"/>
      <w:bookmarkEnd w:id="0"/>
      <w:r w:rsidR="000E3F6E">
        <w:t xml:space="preserve">2 is intended </w:t>
      </w:r>
      <w:r w:rsidR="000E3F6E">
        <w:t>as a reporting checklist for studies using the Stage 0-4 framework. It should be applied according to the highest stage reported: Stage 1 studies should at minimum specify electrocardiogram (ECG)/biomarker and monitoring methods; Stage 2 studies should spe</w:t>
      </w:r>
      <w:r w:rsidR="000E3F6E">
        <w:t>cify left atrial (LA) mechanical and structural methods; Stage 3 studies should additionally report left atrial appendage (LAA)-stasis, cardiac magnetic resonance (CMR), transesophageal echocardiography (TEE), computed tomography (CT), or thrombogenic-biol</w:t>
      </w:r>
      <w:r w:rsidR="000E3F6E">
        <w:t>ogy methods when used.</w:t>
      </w:r>
    </w:p>
    <w:tbl>
      <w:tblPr>
        <w:tblW w:w="10065" w:type="dxa"/>
        <w:jc w:val="center"/>
        <w:tblBorders>
          <w:top w:val="single" w:sz="18" w:space="0" w:color="auto"/>
          <w:bottom w:val="single" w:sz="18" w:space="0" w:color="auto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167"/>
        <w:gridCol w:w="1638"/>
        <w:gridCol w:w="1986"/>
        <w:gridCol w:w="1494"/>
        <w:gridCol w:w="2780"/>
      </w:tblGrid>
      <w:tr w:rsidR="00107CF9" w:rsidRPr="00515A23" w14:paraId="7E259CC0" w14:textId="77777777" w:rsidTr="00D7536C">
        <w:trPr>
          <w:cantSplit/>
          <w:tblHeader/>
          <w:jc w:val="center"/>
        </w:trPr>
        <w:tc>
          <w:tcPr>
            <w:tcW w:w="21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5AC203DD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b/>
                <w:sz w:val="16"/>
                <w:lang w:eastAsia="zh-CN"/>
              </w:rPr>
              <w:t>Domain</w:t>
            </w:r>
          </w:p>
        </w:tc>
        <w:tc>
          <w:tcPr>
            <w:tcW w:w="16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601B1AE3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b/>
                <w:sz w:val="16"/>
                <w:lang w:eastAsia="zh-CN"/>
              </w:rPr>
              <w:t>Minimum to report</w:t>
            </w:r>
          </w:p>
        </w:tc>
        <w:tc>
          <w:tcPr>
            <w:tcW w:w="19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0AE35BFF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b/>
                <w:sz w:val="16"/>
                <w:lang w:eastAsia="zh-CN"/>
              </w:rPr>
              <w:t>Preferred/advanced elements</w:t>
            </w:r>
          </w:p>
        </w:tc>
        <w:tc>
          <w:tcPr>
            <w:tcW w:w="14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4F4CFDD5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bookmarkStart w:id="1" w:name="OLE_LINK71"/>
            <w:r w:rsidRPr="00515A23">
              <w:rPr>
                <w:b/>
                <w:sz w:val="16"/>
                <w:lang w:eastAsia="zh-CN"/>
              </w:rPr>
              <w:t>Common pitfalls</w:t>
            </w:r>
            <w:bookmarkEnd w:id="1"/>
          </w:p>
        </w:tc>
        <w:tc>
          <w:tcPr>
            <w:tcW w:w="27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57B2B70F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b/>
                <w:sz w:val="16"/>
                <w:lang w:eastAsia="zh-CN"/>
              </w:rPr>
              <w:t>Why it matters (comparability/actionability)</w:t>
            </w:r>
          </w:p>
        </w:tc>
      </w:tr>
      <w:tr w:rsidR="00107CF9" w:rsidRPr="00515A23" w14:paraId="63364C4B" w14:textId="77777777" w:rsidTr="00D7536C">
        <w:trPr>
          <w:cantSplit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03FB7DF2" w14:textId="77777777" w:rsidR="00E14E78" w:rsidRDefault="000E3F6E">
            <w:pPr>
              <w:spacing w:line="240" w:lineRule="auto"/>
            </w:pPr>
            <w:r>
              <w:rPr>
                <w:sz w:val="16"/>
              </w:rPr>
              <w:t>Electrocardiogram (ECG; conduction)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621B5AB2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Acquisition settings; lead set; automated vs manual P-wave metrics; continuous vs threshold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4E7337D4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Serial ECG trajectories; signal-averaged ECG; device-derived atrial ectopy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35319FB3" w14:textId="77777777" w:rsidR="00E14E78" w:rsidRDefault="000E3F6E">
            <w:pPr>
              <w:spacing w:line="240" w:lineRule="auto"/>
            </w:pPr>
            <w:r>
              <w:rPr>
                <w:sz w:val="16"/>
              </w:rPr>
              <w:t>Pipeline/vendor drift; post-stroke acute effects; dichotomization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4BC86E25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Enables reproducible screening and monitoring triage</w:t>
            </w:r>
          </w:p>
        </w:tc>
      </w:tr>
      <w:tr w:rsidR="00107CF9" w:rsidRPr="00515A23" w14:paraId="2A7E5363" w14:textId="77777777" w:rsidTr="00D7536C">
        <w:trPr>
          <w:cantSplit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3519C4B2" w14:textId="77777777" w:rsidR="00E14E78" w:rsidRDefault="000E3F6E">
            <w:pPr>
              <w:spacing w:line="240" w:lineRule="auto"/>
            </w:pPr>
            <w:r>
              <w:rPr>
                <w:sz w:val="16"/>
              </w:rPr>
              <w:t>Echocardiography (mechanics)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389BA646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Rhythm at acquisition; reservoir strain; frame rate; vendor/software; segmentation rules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46469B74" w14:textId="77777777" w:rsidR="00E14E78" w:rsidRDefault="000E3F6E">
            <w:pPr>
              <w:spacing w:line="240" w:lineRule="auto"/>
            </w:pPr>
            <w:r>
              <w:rPr>
                <w:sz w:val="16"/>
              </w:rPr>
              <w:t>Conduit/booster strain; left atrial (LA) stiffness surrogates; left atrial appendage (LAA) Doppler when available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1DC68AAF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Non-comparable strain definitions; inconsistent segmentation; load dependence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64C3115F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Bridges substrate to risk and guides escalation (monitoring/imaging)</w:t>
            </w:r>
          </w:p>
        </w:tc>
      </w:tr>
      <w:tr w:rsidR="00107CF9" w:rsidRPr="00515A23" w14:paraId="01FB5D18" w14:textId="77777777" w:rsidTr="00D7536C">
        <w:trPr>
          <w:cantSplit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4B51C9B1" w14:textId="77777777" w:rsidR="00E14E78" w:rsidRDefault="000E3F6E">
            <w:pPr>
              <w:spacing w:line="240" w:lineRule="auto"/>
            </w:pPr>
            <w:r>
              <w:rPr>
                <w:sz w:val="16"/>
              </w:rPr>
              <w:t>Cardiac magnetic resonance (CMR) / computed tomography (CT) (structure/left atrial appendage [LAA])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1BB36524" w14:textId="77777777" w:rsidR="00E14E78" w:rsidRDefault="000E3F6E">
            <w:pPr>
              <w:spacing w:line="240" w:lineRule="auto"/>
            </w:pPr>
            <w:r>
              <w:rPr>
                <w:sz w:val="16"/>
              </w:rPr>
              <w:t xml:space="preserve">Late gadolinium enhancement (LGE) / extracellular volume (ECV) protocol (if used); </w:t>
            </w:r>
            <w:r>
              <w:rPr>
                <w:sz w:val="16"/>
              </w:rPr>
              <w:t>segmentation; LAA morphology/flow metrics; quality control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4C3BE7C0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Repeat imaging for trajectories; combined voltage-imaging mapping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31368A24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Treating prognostic markers as procedural targets; selection bias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145E554E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Aligns phenotypes with mechanisms; supports adjudication and enrichment</w:t>
            </w:r>
          </w:p>
        </w:tc>
      </w:tr>
      <w:tr w:rsidR="00107CF9" w:rsidRPr="00515A23" w14:paraId="401D20DA" w14:textId="77777777" w:rsidTr="00D7536C">
        <w:trPr>
          <w:cantSplit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232F0756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Biomarkers (biology)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5E3928C3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Timing relative to event; assay; continuous values; renal/HF context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51DDAC5C" w14:textId="77777777" w:rsidR="00E14E78" w:rsidRDefault="000E3F6E">
            <w:pPr>
              <w:spacing w:line="240" w:lineRule="auto"/>
            </w:pPr>
            <w:r>
              <w:rPr>
                <w:sz w:val="16"/>
              </w:rPr>
              <w:t>Paneling (N-terminal pro-B-type natriuretic peptide (NT-</w:t>
            </w:r>
            <w:proofErr w:type="spellStart"/>
            <w:r>
              <w:rPr>
                <w:sz w:val="16"/>
              </w:rPr>
              <w:t>proBNP</w:t>
            </w:r>
            <w:proofErr w:type="spellEnd"/>
            <w:r>
              <w:rPr>
                <w:sz w:val="16"/>
              </w:rPr>
              <w:t>) + coagulation/inflammation markers); repeated measures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402A385D" w14:textId="77777777" w:rsidR="00E14E78" w:rsidRDefault="000E3F6E">
            <w:pPr>
              <w:spacing w:line="240" w:lineRule="auto"/>
            </w:pPr>
            <w:r>
              <w:rPr>
                <w:sz w:val="16"/>
              </w:rPr>
              <w:t>Threshold-only reporting; confoundi</w:t>
            </w:r>
            <w:r>
              <w:rPr>
                <w:sz w:val="16"/>
              </w:rPr>
              <w:t>ng by left ventricular (LV)/renal disease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2EC113B0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Stabilizes phenotyping across centers; enables gradients and interactions</w:t>
            </w:r>
          </w:p>
        </w:tc>
      </w:tr>
      <w:tr w:rsidR="00107CF9" w:rsidRPr="00515A23" w14:paraId="1E0B15BA" w14:textId="77777777" w:rsidTr="00D7536C">
        <w:trPr>
          <w:cantSplit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388223D6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Rhythm monitoring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73A59E02" w14:textId="77777777" w:rsidR="00E14E78" w:rsidRDefault="000E3F6E">
            <w:pPr>
              <w:spacing w:line="240" w:lineRule="auto"/>
            </w:pPr>
            <w:r>
              <w:rPr>
                <w:sz w:val="16"/>
              </w:rPr>
              <w:t>Tool; duration; timing; atrial fibrillation (AF) burden definition; adjudication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33ABA7B1" w14:textId="77777777" w:rsidR="00E14E78" w:rsidRDefault="000E3F6E">
            <w:pPr>
              <w:spacing w:line="240" w:lineRule="auto"/>
            </w:pPr>
            <w:r>
              <w:rPr>
                <w:sz w:val="16"/>
              </w:rPr>
              <w:t>Continuous monitoring; standardized repo</w:t>
            </w:r>
            <w:r>
              <w:rPr>
                <w:sz w:val="16"/>
              </w:rPr>
              <w:t>rting of AF detected after stroke time windows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5B4CF99B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Variable intensity leads to biased "AF-independent" claims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33109403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Key for separating causal AF vs marker AF and interpreting trials</w:t>
            </w:r>
          </w:p>
        </w:tc>
      </w:tr>
      <w:tr w:rsidR="00107CF9" w:rsidRPr="00515A23" w14:paraId="517F24E0" w14:textId="77777777" w:rsidTr="00D7536C">
        <w:trPr>
          <w:cantSplit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2A4D43DC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Stroke phenotyping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713106BE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Central adjudication; embolic vs lacunar classification; imaging patterns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00DC8D3B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Covert infarcts; MRI small vessel disease markers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2822BA9F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Endpoint heterogeneity dilutes treatment effects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575E235A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Improves mechanism matching and endpoint sensitivity</w:t>
            </w:r>
          </w:p>
        </w:tc>
      </w:tr>
      <w:tr w:rsidR="00107CF9" w:rsidRPr="00515A23" w14:paraId="785A9C30" w14:textId="77777777" w:rsidTr="00D7536C">
        <w:trPr>
          <w:cantSplit/>
          <w:jc w:val="center"/>
        </w:trPr>
        <w:tc>
          <w:tcPr>
            <w:tcW w:w="2167" w:type="dxa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15B67A32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Treatment exposure/background care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147A9B52" w14:textId="77777777" w:rsidR="00E14E78" w:rsidRDefault="000E3F6E">
            <w:pPr>
              <w:spacing w:line="240" w:lineRule="auto"/>
            </w:pPr>
            <w:r>
              <w:rPr>
                <w:sz w:val="16"/>
              </w:rPr>
              <w:t xml:space="preserve">Antithrombotic regimen; risk factor control; statin/blood </w:t>
            </w:r>
            <w:r>
              <w:rPr>
                <w:sz w:val="16"/>
              </w:rPr>
              <w:t>pressure (BP) status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3EA55362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Time-varying exposures; adherence measures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677CB216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Unmeasured co-interventions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hideMark/>
          </w:tcPr>
          <w:p w14:paraId="35C8EDE1" w14:textId="77777777" w:rsidR="00107CF9" w:rsidRPr="00515A23" w:rsidRDefault="00107CF9" w:rsidP="0070250D">
            <w:pPr>
              <w:spacing w:line="240" w:lineRule="auto"/>
              <w:rPr>
                <w:rFonts w:eastAsia="宋体"/>
                <w:lang w:eastAsia="zh-CN"/>
              </w:rPr>
            </w:pPr>
            <w:r w:rsidRPr="00515A23">
              <w:rPr>
                <w:sz w:val="16"/>
                <w:lang w:eastAsia="zh-CN"/>
              </w:rPr>
              <w:t>Necessary to interpret incremental benefit and neutrality</w:t>
            </w:r>
          </w:p>
        </w:tc>
      </w:tr>
    </w:tbl>
    <w:p w14:paraId="4726DA45" w14:textId="77777777" w:rsidR="00E14E78" w:rsidRDefault="000E3F6E">
      <w:pPr>
        <w:spacing w:after="120" w:line="240" w:lineRule="auto"/>
      </w:pPr>
      <w:r>
        <w:t xml:space="preserve">Abbreviations used in the supplementary tables: AF, atrial fibrillation; </w:t>
      </w:r>
      <w:proofErr w:type="spellStart"/>
      <w:r>
        <w:t>AtCM</w:t>
      </w:r>
      <w:proofErr w:type="spellEnd"/>
      <w:r>
        <w:t>, atrial cardiomyopathy; BP,</w:t>
      </w:r>
      <w:r>
        <w:t xml:space="preserve"> blood pressure; CMR, cardiac magnetic resonance; CT, computed tomography; ECG, electrocardiogram; ECV, extracellular volume; HF, heart failure; HFpEF, heart failure with preserved ejection fraction; ILR, implantable loop recorder; LA, left atrium; LAA, le</w:t>
      </w:r>
      <w:r>
        <w:t>ft atrial appendage; LAVI, left atrial volume index; LGE, late gadolinium enhancement; LV, left ventricular; MRI, magnetic resonance imaging; NT-</w:t>
      </w:r>
      <w:proofErr w:type="spellStart"/>
      <w:r>
        <w:t>proBNP</w:t>
      </w:r>
      <w:proofErr w:type="spellEnd"/>
      <w:r>
        <w:t>, N-terminal pro-B-type natriuretic peptide; PTFV1, P-wave terminal force in lead V1; SCAF, subclinical a</w:t>
      </w:r>
      <w:r>
        <w:t>trial fibrillation; TEE, transesophageal echocardiography.</w:t>
      </w:r>
    </w:p>
    <w:p w14:paraId="38905438" w14:textId="77777777" w:rsidR="00E14E78" w:rsidRDefault="00E14E78">
      <w:pPr>
        <w:spacing w:after="120" w:line="240" w:lineRule="auto"/>
      </w:pPr>
    </w:p>
    <w:sectPr w:rsidR="00E14E78" w:rsidSect="00107C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95CF14" w14:textId="77777777" w:rsidR="000E3F6E" w:rsidRDefault="000E3F6E" w:rsidP="00107CF9">
      <w:pPr>
        <w:spacing w:line="240" w:lineRule="auto"/>
      </w:pPr>
      <w:r>
        <w:separator/>
      </w:r>
    </w:p>
  </w:endnote>
  <w:endnote w:type="continuationSeparator" w:id="0">
    <w:p w14:paraId="7A60C441" w14:textId="77777777" w:rsidR="000E3F6E" w:rsidRDefault="000E3F6E" w:rsidP="00107C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17887" w14:textId="77777777" w:rsidR="000E3F6E" w:rsidRDefault="000E3F6E" w:rsidP="00107CF9">
      <w:pPr>
        <w:spacing w:line="240" w:lineRule="auto"/>
      </w:pPr>
      <w:r>
        <w:separator/>
      </w:r>
    </w:p>
  </w:footnote>
  <w:footnote w:type="continuationSeparator" w:id="0">
    <w:p w14:paraId="007EE85C" w14:textId="77777777" w:rsidR="000E3F6E" w:rsidRDefault="000E3F6E" w:rsidP="00107CF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49A"/>
    <w:rsid w:val="000E3F6E"/>
    <w:rsid w:val="00107CF9"/>
    <w:rsid w:val="005412F9"/>
    <w:rsid w:val="00577D19"/>
    <w:rsid w:val="00581C74"/>
    <w:rsid w:val="007C0776"/>
    <w:rsid w:val="007D02B6"/>
    <w:rsid w:val="00835344"/>
    <w:rsid w:val="008A39EB"/>
    <w:rsid w:val="00B21E89"/>
    <w:rsid w:val="00B66CEA"/>
    <w:rsid w:val="00D55738"/>
    <w:rsid w:val="00D7536C"/>
    <w:rsid w:val="00E14E78"/>
    <w:rsid w:val="00EA3CC5"/>
    <w:rsid w:val="00EA3E9F"/>
    <w:rsid w:val="00FC249A"/>
    <w:rsid w:val="00FD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71A131"/>
  <w15:chartTrackingRefBased/>
  <w15:docId w15:val="{B2ABDF8D-E097-404B-98E0-4432161F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7CF9"/>
    <w:pPr>
      <w:spacing w:after="0" w:line="276" w:lineRule="auto"/>
    </w:pPr>
    <w:rPr>
      <w:rFonts w:ascii="Times New Roman" w:eastAsia="Times New Roman" w:hAnsi="Times New Roman"/>
      <w:kern w:val="0"/>
      <w:sz w:val="24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249A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49A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49A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249A"/>
    <w:pPr>
      <w:keepNext/>
      <w:keepLines/>
      <w:widowControl w:val="0"/>
      <w:spacing w:before="80" w:after="40" w:line="278" w:lineRule="auto"/>
      <w:outlineLvl w:val="3"/>
    </w:pPr>
    <w:rPr>
      <w:rFonts w:asciiTheme="minorHAnsi" w:hAnsiTheme="minorHAnsi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249A"/>
    <w:pPr>
      <w:keepNext/>
      <w:keepLines/>
      <w:widowControl w:val="0"/>
      <w:spacing w:before="80" w:after="40" w:line="278" w:lineRule="auto"/>
      <w:outlineLvl w:val="4"/>
    </w:pPr>
    <w:rPr>
      <w:rFonts w:asciiTheme="minorHAnsi" w:hAnsiTheme="minorHAnsi" w:cstheme="majorBidi"/>
      <w:color w:val="2F5496" w:themeColor="accent1" w:themeShade="BF"/>
      <w:kern w:val="2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249A"/>
    <w:pPr>
      <w:keepNext/>
      <w:keepLines/>
      <w:widowControl w:val="0"/>
      <w:spacing w:before="40" w:line="278" w:lineRule="auto"/>
      <w:outlineLvl w:val="5"/>
    </w:pPr>
    <w:rPr>
      <w:rFonts w:asciiTheme="minorHAnsi" w:hAnsiTheme="minorHAnsi" w:cstheme="majorBidi"/>
      <w:b/>
      <w:bCs/>
      <w:color w:val="2F5496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249A"/>
    <w:pPr>
      <w:keepNext/>
      <w:keepLines/>
      <w:widowControl w:val="0"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249A"/>
    <w:pPr>
      <w:keepNext/>
      <w:keepLines/>
      <w:widowControl w:val="0"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249A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C249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C24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C2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C249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C249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C249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C249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C249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C249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C249A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C2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249A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C24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249A"/>
    <w:pPr>
      <w:widowControl w:val="0"/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C24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249A"/>
    <w:pPr>
      <w:widowControl w:val="0"/>
      <w:spacing w:after="160" w:line="278" w:lineRule="auto"/>
      <w:ind w:left="720"/>
      <w:contextualSpacing/>
    </w:pPr>
    <w:rPr>
      <w:rFonts w:asciiTheme="minorHAnsi" w:hAnsiTheme="minorHAnsi"/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FC249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249A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C249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C249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07CF9"/>
    <w:pPr>
      <w:widowControl w:val="0"/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asciiTheme="minorHAnsi" w:hAnsiTheme="minorHAnsi"/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107CF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07CF9"/>
    <w:pPr>
      <w:widowControl w:val="0"/>
      <w:tabs>
        <w:tab w:val="center" w:pos="4153"/>
        <w:tab w:val="right" w:pos="8306"/>
      </w:tabs>
      <w:snapToGrid w:val="0"/>
      <w:spacing w:after="160" w:line="240" w:lineRule="auto"/>
    </w:pPr>
    <w:rPr>
      <w:rFonts w:asciiTheme="minorHAnsi" w:hAnsiTheme="minorHAnsi"/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107C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 CAO</dc:creator>
  <cp:keywords/>
  <dc:description/>
  <cp:lastModifiedBy>Yuki</cp:lastModifiedBy>
  <cp:revision>8</cp:revision>
  <dcterms:created xsi:type="dcterms:W3CDTF">2026-01-24T14:21:00Z</dcterms:created>
  <dcterms:modified xsi:type="dcterms:W3CDTF">2026-06-29T09:18:00Z</dcterms:modified>
</cp:coreProperties>
</file>